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E061" w14:textId="4360D3AD" w:rsidR="003E14E7" w:rsidRPr="003E14E7" w:rsidRDefault="00910A7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rFonts w:eastAsia="Calibri" w:cs="Arial"/>
          <w:b/>
          <w:color w:val="auto"/>
          <w:spacing w:val="0"/>
          <w:szCs w:val="20"/>
        </w:rPr>
        <w:t xml:space="preserve">Załącznik nr </w:t>
      </w:r>
      <w:r w:rsidR="006404F7">
        <w:rPr>
          <w:rFonts w:eastAsia="Calibri" w:cs="Arial"/>
          <w:b/>
          <w:color w:val="auto"/>
          <w:spacing w:val="0"/>
          <w:szCs w:val="20"/>
        </w:rPr>
        <w:t>7</w:t>
      </w:r>
      <w:r w:rsidR="003E14E7" w:rsidRPr="003E14E7">
        <w:rPr>
          <w:rFonts w:eastAsia="Calibri" w:cs="Arial"/>
          <w:color w:val="auto"/>
          <w:spacing w:val="0"/>
          <w:szCs w:val="20"/>
        </w:rPr>
        <w:t xml:space="preserve"> </w:t>
      </w:r>
      <w:r w:rsidR="003E14E7" w:rsidRPr="003E14E7">
        <w:rPr>
          <w:rFonts w:eastAsia="Calibri" w:cs="Arial"/>
          <w:b/>
          <w:color w:val="auto"/>
          <w:spacing w:val="0"/>
          <w:szCs w:val="20"/>
        </w:rPr>
        <w:t>do SWZ</w:t>
      </w:r>
    </w:p>
    <w:p w14:paraId="7F68A33B" w14:textId="1C4FA769" w:rsidR="003E14E7" w:rsidRPr="003E14E7" w:rsidRDefault="003E14E7" w:rsidP="00910A74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Nr sprawy:</w:t>
      </w:r>
      <w:r w:rsidRPr="003E14E7">
        <w:rPr>
          <w:rFonts w:eastAsia="Calibri" w:cs="Tahoma"/>
          <w:b/>
          <w:color w:val="auto"/>
          <w:spacing w:val="0"/>
          <w:szCs w:val="20"/>
        </w:rPr>
        <w:t xml:space="preserve"> </w:t>
      </w:r>
      <w:r w:rsidR="006404F7">
        <w:rPr>
          <w:rFonts w:eastAsia="Calibri" w:cs="Tahoma"/>
          <w:b/>
          <w:color w:val="auto"/>
          <w:spacing w:val="0"/>
          <w:szCs w:val="20"/>
        </w:rPr>
        <w:t>SPZP</w:t>
      </w:r>
      <w:r w:rsidRPr="003E14E7">
        <w:rPr>
          <w:rFonts w:eastAsia="Calibri" w:cs="Tahoma"/>
          <w:b/>
          <w:color w:val="auto"/>
          <w:spacing w:val="0"/>
          <w:szCs w:val="20"/>
        </w:rPr>
        <w:t>.271</w:t>
      </w:r>
      <w:r w:rsidR="00A42B0A">
        <w:rPr>
          <w:rFonts w:eastAsia="Calibri" w:cs="Tahoma"/>
          <w:b/>
          <w:color w:val="auto"/>
          <w:spacing w:val="0"/>
          <w:szCs w:val="20"/>
        </w:rPr>
        <w:t>.</w:t>
      </w:r>
      <w:r w:rsidR="002966A2">
        <w:rPr>
          <w:rFonts w:eastAsia="Calibri" w:cs="Tahoma"/>
          <w:b/>
          <w:color w:val="auto"/>
          <w:spacing w:val="0"/>
          <w:szCs w:val="20"/>
        </w:rPr>
        <w:t>1</w:t>
      </w:r>
      <w:r w:rsidR="006404F7">
        <w:rPr>
          <w:rFonts w:eastAsia="Calibri" w:cs="Tahoma"/>
          <w:b/>
          <w:color w:val="auto"/>
          <w:spacing w:val="0"/>
          <w:szCs w:val="20"/>
        </w:rPr>
        <w:t>7</w:t>
      </w:r>
      <w:r w:rsidR="000273BA">
        <w:rPr>
          <w:rFonts w:eastAsia="Calibri" w:cs="Tahoma"/>
          <w:b/>
          <w:color w:val="auto"/>
          <w:spacing w:val="0"/>
          <w:szCs w:val="20"/>
        </w:rPr>
        <w:t>.</w:t>
      </w:r>
      <w:r w:rsidRPr="003E14E7">
        <w:rPr>
          <w:rFonts w:eastAsia="Calibri" w:cs="Tahoma"/>
          <w:b/>
          <w:color w:val="auto"/>
          <w:spacing w:val="0"/>
          <w:szCs w:val="20"/>
        </w:rPr>
        <w:t>202</w:t>
      </w:r>
      <w:r w:rsidR="006404F7">
        <w:rPr>
          <w:rFonts w:eastAsia="Calibri" w:cs="Tahoma"/>
          <w:b/>
          <w:color w:val="auto"/>
          <w:spacing w:val="0"/>
          <w:szCs w:val="20"/>
        </w:rPr>
        <w:t>4</w:t>
      </w:r>
    </w:p>
    <w:p w14:paraId="6C4AFEE6" w14:textId="77777777" w:rsidR="003E14E7" w:rsidRPr="003E14E7" w:rsidRDefault="003E14E7" w:rsidP="00227DD2">
      <w:pPr>
        <w:spacing w:after="0" w:line="259" w:lineRule="auto"/>
        <w:ind w:hanging="1"/>
        <w:jc w:val="left"/>
        <w:rPr>
          <w:rFonts w:eastAsia="Calibri" w:cs="Arial"/>
          <w:b/>
          <w:color w:val="auto"/>
          <w:spacing w:val="0"/>
          <w:szCs w:val="20"/>
        </w:rPr>
      </w:pPr>
      <w:r w:rsidRPr="003E14E7">
        <w:rPr>
          <w:rFonts w:eastAsia="Calibri" w:cs="Arial"/>
          <w:b/>
          <w:color w:val="auto"/>
          <w:spacing w:val="0"/>
          <w:szCs w:val="20"/>
        </w:rPr>
        <w:t>Wykonawca:</w:t>
      </w:r>
    </w:p>
    <w:p w14:paraId="1421B020" w14:textId="77777777" w:rsidR="003E14E7" w:rsidRPr="003E14E7" w:rsidRDefault="003E14E7" w:rsidP="003E14E7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 w:rsidRPr="003E14E7">
        <w:rPr>
          <w:rFonts w:eastAsia="Calibri" w:cs="Arial"/>
          <w:color w:val="auto"/>
          <w:spacing w:val="0"/>
          <w:szCs w:val="20"/>
        </w:rPr>
        <w:t>……………………………………………………………………</w:t>
      </w:r>
    </w:p>
    <w:p w14:paraId="6B6E64C2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051C5BF8" w14:textId="77777777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OŚWIADCZENIE WYKONAWCY W SPRAWIE PRZYNALEŻNOŚCI DO GRUPY KAPITAŁOWEJ</w:t>
      </w:r>
    </w:p>
    <w:p w14:paraId="2C00E561" w14:textId="77777777" w:rsidR="00692A9D" w:rsidRP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 xml:space="preserve">w zakresie art. 108 ust. 1 pkt 5 ustawy </w:t>
      </w:r>
      <w:proofErr w:type="spellStart"/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Pzp</w:t>
      </w:r>
      <w:proofErr w:type="spellEnd"/>
    </w:p>
    <w:p w14:paraId="396C7B20" w14:textId="77777777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11BC6002" w14:textId="78403D4D" w:rsidR="003E14E7" w:rsidRDefault="00692A9D" w:rsidP="00692A9D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Składając ofertę w postępowaniu o udzielenie zamówienia publicznego na:</w:t>
      </w:r>
    </w:p>
    <w:p w14:paraId="537CBE43" w14:textId="77777777" w:rsidR="000C4318" w:rsidRPr="00692A9D" w:rsidRDefault="000C4318" w:rsidP="00692A9D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7B336C77" w14:textId="5CBDCBCC" w:rsidR="003E14E7" w:rsidRPr="00692A9D" w:rsidRDefault="003E14E7" w:rsidP="0094378F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Cs w:val="20"/>
        </w:rPr>
      </w:pPr>
      <w:r w:rsidRPr="00692A9D">
        <w:rPr>
          <w:rFonts w:eastAsia="Times New Roman" w:cs="Tahoma"/>
          <w:b/>
          <w:color w:val="auto"/>
          <w:spacing w:val="0"/>
          <w:szCs w:val="20"/>
          <w:lang w:eastAsia="x-none"/>
        </w:rPr>
        <w:t>„</w:t>
      </w:r>
      <w:r w:rsidR="000C4318" w:rsidRPr="000C4318">
        <w:rPr>
          <w:rFonts w:eastAsia="Times New Roman" w:cs="Tahoma"/>
          <w:b/>
          <w:color w:val="auto"/>
          <w:spacing w:val="0"/>
          <w:szCs w:val="20"/>
          <w:lang w:eastAsia="x-none"/>
        </w:rPr>
        <w:t>Świadczenie usług okresowych przeglądów technicznych, konserwacji, bieżących napraw i usuwania awarii instalacji detekcji gazów</w:t>
      </w:r>
      <w:r w:rsidRPr="00692A9D">
        <w:rPr>
          <w:rFonts w:eastAsia="Times New Roman" w:cs="Tahoma"/>
          <w:b/>
          <w:color w:val="auto"/>
          <w:spacing w:val="0"/>
          <w:szCs w:val="20"/>
          <w:lang w:eastAsia="x-none"/>
        </w:rPr>
        <w:t>”</w:t>
      </w:r>
    </w:p>
    <w:p w14:paraId="7ED51926" w14:textId="77777777" w:rsidR="003E14E7" w:rsidRPr="003E14E7" w:rsidRDefault="003E14E7" w:rsidP="003E14E7">
      <w:pPr>
        <w:spacing w:after="0" w:line="240" w:lineRule="auto"/>
        <w:jc w:val="left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032CAC1" w14:textId="77777777" w:rsidR="003E14E7" w:rsidRDefault="003E14E7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47992302" w14:textId="77777777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Oświadcza</w:t>
      </w:r>
      <w:r>
        <w:rPr>
          <w:rFonts w:eastAsia="Times New Roman" w:cs="Arial"/>
          <w:color w:val="auto"/>
          <w:spacing w:val="0"/>
          <w:szCs w:val="20"/>
          <w:lang w:eastAsia="pl-PL"/>
        </w:rPr>
        <w:t>m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, że</w:t>
      </w:r>
      <w:r w:rsidR="00C36739">
        <w:rPr>
          <w:rFonts w:eastAsia="Times New Roman" w:cs="Arial"/>
          <w:color w:val="auto"/>
          <w:spacing w:val="0"/>
          <w:szCs w:val="20"/>
          <w:lang w:eastAsia="pl-PL"/>
        </w:rPr>
        <w:t xml:space="preserve"> Wykonawca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: </w:t>
      </w:r>
    </w:p>
    <w:p w14:paraId="58E0D5D9" w14:textId="68506FF9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1. </w:t>
      </w: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NIE NALEŻY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 innym wykonawcą, który złożył odrębną ofertę do </w:t>
      </w:r>
      <w:r w:rsidR="000D72FF">
        <w:rPr>
          <w:rFonts w:eastAsia="Times New Roman" w:cs="Arial"/>
          <w:color w:val="auto"/>
          <w:spacing w:val="0"/>
          <w:szCs w:val="20"/>
          <w:lang w:eastAsia="pl-PL"/>
        </w:rPr>
        <w:t xml:space="preserve">tej samej 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grupy kapitałowej w rozumieniu ustawy z dnia 16 lutego 2007 r. o ochronie konkurencji i konsumentów, w zakresie wynikającym z art. 108 ust. 1 pkt 5 ustawy </w:t>
      </w:r>
      <w:proofErr w:type="spellStart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Pzp</w:t>
      </w:r>
      <w:proofErr w:type="spellEnd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* </w:t>
      </w:r>
    </w:p>
    <w:p w14:paraId="4478C2AB" w14:textId="099397DC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2. </w:t>
      </w:r>
      <w:r w:rsidRPr="00692A9D">
        <w:rPr>
          <w:rFonts w:eastAsia="Times New Roman" w:cs="Arial"/>
          <w:b/>
          <w:color w:val="auto"/>
          <w:spacing w:val="0"/>
          <w:szCs w:val="20"/>
          <w:lang w:eastAsia="pl-PL"/>
        </w:rPr>
        <w:t>NALEŻY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do tej samej grupy kapitałowej w rozumieniu ustawy z dnia 16 lutego 2007 r. o ochronie konkurencji i konsumentów</w:t>
      </w:r>
      <w:r w:rsidR="00E878AA">
        <w:rPr>
          <w:rFonts w:eastAsia="Times New Roman" w:cs="Arial"/>
          <w:color w:val="auto"/>
          <w:spacing w:val="0"/>
          <w:szCs w:val="20"/>
          <w:lang w:eastAsia="pl-PL"/>
        </w:rPr>
        <w:t xml:space="preserve">, </w:t>
      </w: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w zakresie wynikającym z art. 108 ust. 1 pkt 5 ustawy </w:t>
      </w:r>
      <w:proofErr w:type="spellStart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>Pzp</w:t>
      </w:r>
      <w:proofErr w:type="spellEnd"/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 z następującymi Wykonawcami*: </w:t>
      </w:r>
    </w:p>
    <w:p w14:paraId="67D0F5FB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a. …………………………………….. </w:t>
      </w:r>
    </w:p>
    <w:p w14:paraId="5679928C" w14:textId="77777777" w:rsid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b. …………………………………….. </w:t>
      </w:r>
    </w:p>
    <w:p w14:paraId="10F7E213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10A8A4E2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color w:val="auto"/>
          <w:spacing w:val="0"/>
          <w:szCs w:val="20"/>
          <w:lang w:eastAsia="pl-PL"/>
        </w:rPr>
        <w:t xml:space="preserve">W przypadku zaistnienia okoliczności z pkt 2 Wykonawca wraz z oświadczeniem przekazuje dokumenty lub informacje potwierdzające przygotowanie oferty niezależnie od innego wykonawcy należącego do tej samej grupy kapitałowej**. </w:t>
      </w:r>
    </w:p>
    <w:p w14:paraId="30CA2B7F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i/>
          <w:color w:val="auto"/>
          <w:spacing w:val="0"/>
          <w:szCs w:val="20"/>
          <w:lang w:eastAsia="pl-PL"/>
        </w:rPr>
        <w:t xml:space="preserve">*niepotrzebne skreślić </w:t>
      </w:r>
    </w:p>
    <w:p w14:paraId="5852A77F" w14:textId="47C72BEC" w:rsidR="00692A9D" w:rsidRPr="002966A2" w:rsidRDefault="00692A9D" w:rsidP="002966A2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  <w:lang w:eastAsia="pl-PL"/>
        </w:rPr>
      </w:pPr>
      <w:r w:rsidRPr="00692A9D">
        <w:rPr>
          <w:rFonts w:eastAsia="Times New Roman" w:cs="Arial"/>
          <w:i/>
          <w:color w:val="auto"/>
          <w:spacing w:val="0"/>
          <w:szCs w:val="20"/>
          <w:lang w:eastAsia="pl-PL"/>
        </w:rPr>
        <w:t>**(jeżeli dotyczy)</w:t>
      </w:r>
    </w:p>
    <w:p w14:paraId="6FE4215C" w14:textId="1DE0C0DB" w:rsidR="00213DB2" w:rsidRDefault="00213DB2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525363E7" w14:textId="77777777" w:rsidR="00213DB2" w:rsidRDefault="00213DB2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75F0A806" w14:textId="77777777" w:rsid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</w:p>
    <w:p w14:paraId="2C6AD5CF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UWAGA</w:t>
      </w:r>
      <w:r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:</w:t>
      </w:r>
    </w:p>
    <w:p w14:paraId="199921C5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1.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Oświadczenie należy złożyć na 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  <w:t>wezwanie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Z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amawiającego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zgodnie z art. </w:t>
      </w:r>
      <w:r w:rsidR="001B09C4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274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 ust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. 1 PZP –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niniejszego oświadczenia nie należy składać wraz z ofertą lub samodzielnie uzupełniać bez wezwania Zamawiającego</w:t>
      </w: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. </w:t>
      </w:r>
    </w:p>
    <w:p w14:paraId="22B1458E" w14:textId="3EECE675" w:rsid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  <w:r w:rsidRPr="00692A9D"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 xml:space="preserve">2. </w:t>
      </w:r>
      <w:r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  <w:t>W przypadku wspólnego ubiegania się o zamówienie przez wykonawców niniejsze oświadczenie składa odrębnie każdy z wykonawców wspólnie ubiegających się o zamówienie.</w:t>
      </w:r>
    </w:p>
    <w:p w14:paraId="2151FBA9" w14:textId="61303E1C" w:rsidR="002966A2" w:rsidRDefault="002966A2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</w:p>
    <w:p w14:paraId="12CBAF76" w14:textId="2B16FBF0" w:rsidR="002966A2" w:rsidRDefault="002966A2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  <w:lang w:eastAsia="pl-PL"/>
        </w:rPr>
      </w:pPr>
    </w:p>
    <w:p w14:paraId="2BCBF743" w14:textId="1E7020C9" w:rsidR="002966A2" w:rsidRPr="005F3C04" w:rsidRDefault="005F3C04" w:rsidP="005F3C04">
      <w:pPr>
        <w:rPr>
          <w:b/>
          <w:bCs/>
          <w:color w:val="FF0000"/>
        </w:rPr>
      </w:pPr>
      <w:r w:rsidRPr="00D77074">
        <w:rPr>
          <w:b/>
          <w:bCs/>
          <w:color w:val="FF0000"/>
        </w:rPr>
        <w:t>Oferta winna zostać sporządzona, pod rygorem nieważności w formie elektronicznej lub w postaci elektronicznej opatrzonej podpisem zaufanym lub podpisem osobistym.</w:t>
      </w:r>
    </w:p>
    <w:sectPr w:rsidR="002966A2" w:rsidRPr="005F3C04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7F67C" w14:textId="77777777" w:rsidR="007358D4" w:rsidRDefault="007358D4" w:rsidP="006747BD">
      <w:pPr>
        <w:spacing w:after="0" w:line="240" w:lineRule="auto"/>
      </w:pPr>
      <w:r>
        <w:separator/>
      </w:r>
    </w:p>
  </w:endnote>
  <w:endnote w:type="continuationSeparator" w:id="0">
    <w:p w14:paraId="3027F253" w14:textId="77777777" w:rsidR="007358D4" w:rsidRDefault="007358D4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232F9675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ABDE9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23C14D94" wp14:editId="49C9E5EE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186BA05" wp14:editId="089B348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9D0FB1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477001AC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 Fax: +48 71 720 16 00</w:t>
                          </w:r>
                        </w:p>
                        <w:p w14:paraId="2EFCED71" w14:textId="77777777" w:rsidR="00A4666C" w:rsidRPr="00F76B97" w:rsidRDefault="00A4666C" w:rsidP="00A4666C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F76B97">
                            <w:rPr>
                              <w:lang w:val="en-US"/>
                            </w:rPr>
                            <w:t>E-mail: biuro@port.org.pl | NIP: 894 314 05 23, REGON: 020671635</w:t>
                          </w:r>
                        </w:p>
                        <w:p w14:paraId="382DC63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4F1B0938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Nr KRS: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6BA0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7F9D0FB1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477001AC" w14:textId="77777777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 Fax: +48 71 720 16 00</w:t>
                    </w:r>
                  </w:p>
                  <w:p w14:paraId="2EFCED71" w14:textId="77777777" w:rsidR="00A4666C" w:rsidRPr="00F76B97" w:rsidRDefault="00A4666C" w:rsidP="00A4666C">
                    <w:pPr>
                      <w:pStyle w:val="LukStopka-adres"/>
                      <w:rPr>
                        <w:lang w:val="en-US"/>
                      </w:rPr>
                    </w:pPr>
                    <w:r w:rsidRPr="00F76B97">
                      <w:rPr>
                        <w:lang w:val="en-US"/>
                      </w:rPr>
                      <w:t>E-mail: biuro@port.org.pl | NIP: 894 314 05 23, REGON: 020671635</w:t>
                    </w:r>
                  </w:p>
                  <w:p w14:paraId="382DC63E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4F1B0938" w14:textId="77777777" w:rsidR="00DA52A1" w:rsidRPr="00ED7972" w:rsidRDefault="00ED7972" w:rsidP="006F645A">
                    <w:pPr>
                      <w:pStyle w:val="LukStopka-adres"/>
                    </w:pPr>
                    <w:r>
                      <w:t>Nr KRS: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3BCEEF3" w14:textId="675C361C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94238B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94238B">
              <w:rPr>
                <w:noProof/>
              </w:rPr>
              <w:t>1</w:t>
            </w:r>
            <w:r w:rsidRPr="00D40690">
              <w:fldChar w:fldCharType="end"/>
            </w:r>
          </w:p>
        </w:sdtContent>
      </w:sdt>
    </w:sdtContent>
  </w:sdt>
  <w:p w14:paraId="022793D5" w14:textId="77777777" w:rsidR="003F4BA3" w:rsidRPr="00D06D36" w:rsidRDefault="004F5805" w:rsidP="00D06D36">
    <w:pPr>
      <w:pStyle w:val="LukStopka-adres"/>
      <w:rPr>
        <w:spacing w:val="2"/>
      </w:rPr>
    </w:pPr>
    <w:r>
      <w:rPr>
        <w:spacing w:val="2"/>
        <w:lang w:eastAsia="pl-PL"/>
      </w:rPr>
      <w:drawing>
        <wp:anchor distT="0" distB="0" distL="114300" distR="114300" simplePos="0" relativeHeight="251657216" behindDoc="1" locked="1" layoutInCell="1" allowOverlap="1" wp14:anchorId="7C65967E" wp14:editId="604B5DE0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65D4F30" wp14:editId="04B3C519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792A3B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745606AD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54-066 Wrocław, ul. Stabłowicka 147, Tel: +48 71 734 77 77, Fax: +48 71 720 16 00</w:t>
                          </w:r>
                        </w:p>
                        <w:p w14:paraId="234B149C" w14:textId="77777777" w:rsidR="00367E97" w:rsidRPr="0024374D" w:rsidRDefault="00367E97" w:rsidP="00367E97">
                          <w:pPr>
                            <w:pStyle w:val="LukStopka-adres"/>
                            <w:rPr>
                              <w:lang w:val="en-US"/>
                            </w:rPr>
                          </w:pPr>
                          <w:r w:rsidRPr="0024374D">
                            <w:rPr>
                              <w:lang w:val="en-US"/>
                            </w:rPr>
                            <w:t>E-mail: biuro@port.lukasiewicz.gov.pl | NIP: 894 314 05 23, REGON: 386585168</w:t>
                          </w:r>
                        </w:p>
                        <w:p w14:paraId="12625E98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2D3B05A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Nr KRS: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D4F3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65792A3B" w14:textId="77777777" w:rsidR="00367E97" w:rsidRDefault="00367E97" w:rsidP="00367E97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745606AD" w14:textId="77777777" w:rsidR="00367E97" w:rsidRDefault="00367E97" w:rsidP="00367E97">
                    <w:pPr>
                      <w:pStyle w:val="LukStopka-adres"/>
                    </w:pPr>
                    <w:r>
                      <w:t>54-066 Wrocław, ul. Stabłowicka 147, Tel: +48 71 734 77 77, Fax: +48 71 720 16 00</w:t>
                    </w:r>
                  </w:p>
                  <w:p w14:paraId="234B149C" w14:textId="77777777" w:rsidR="00367E97" w:rsidRPr="0024374D" w:rsidRDefault="00367E97" w:rsidP="00367E97">
                    <w:pPr>
                      <w:pStyle w:val="LukStopka-adres"/>
                      <w:rPr>
                        <w:lang w:val="en-US"/>
                      </w:rPr>
                    </w:pPr>
                    <w:r w:rsidRPr="0024374D">
                      <w:rPr>
                        <w:lang w:val="en-US"/>
                      </w:rPr>
                      <w:t>E-mail: biuro@port.lukasiewicz.gov.pl | NIP: 894 314 05 23, REGON: 386585168</w:t>
                    </w:r>
                  </w:p>
                  <w:p w14:paraId="12625E98" w14:textId="77777777" w:rsidR="00367E97" w:rsidRDefault="00367E97" w:rsidP="00367E97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2D3B05A" w14:textId="77777777" w:rsidR="004F5805" w:rsidRPr="00ED7972" w:rsidRDefault="00367E97" w:rsidP="00367E97">
                    <w:pPr>
                      <w:pStyle w:val="LukStopka-adres"/>
                    </w:pPr>
                    <w:r>
                      <w:t>Nr KRS: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D10FC" w14:textId="77777777" w:rsidR="007358D4" w:rsidRDefault="007358D4" w:rsidP="006747BD">
      <w:pPr>
        <w:spacing w:after="0" w:line="240" w:lineRule="auto"/>
      </w:pPr>
      <w:r>
        <w:separator/>
      </w:r>
    </w:p>
  </w:footnote>
  <w:footnote w:type="continuationSeparator" w:id="0">
    <w:p w14:paraId="6AB25B7B" w14:textId="77777777" w:rsidR="007358D4" w:rsidRDefault="007358D4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8F" w14:textId="0BA97AE3" w:rsidR="006747BD" w:rsidRPr="00DA52A1" w:rsidRDefault="007D1A07">
    <w:pPr>
      <w:pStyle w:val="Nagwek"/>
    </w:pPr>
    <w:r w:rsidRPr="005D102F"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1BF54DCF" wp14:editId="1A1FFE78">
          <wp:simplePos x="0" y="0"/>
          <wp:positionH relativeFrom="column">
            <wp:posOffset>-1090295</wp:posOffset>
          </wp:positionH>
          <wp:positionV relativeFrom="paragraph">
            <wp:posOffset>46990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02F"/>
    <w:rsid w:val="000273BA"/>
    <w:rsid w:val="00034894"/>
    <w:rsid w:val="00051011"/>
    <w:rsid w:val="00070438"/>
    <w:rsid w:val="00077647"/>
    <w:rsid w:val="000C29F2"/>
    <w:rsid w:val="000C4318"/>
    <w:rsid w:val="000D72FF"/>
    <w:rsid w:val="00134929"/>
    <w:rsid w:val="001A0BD2"/>
    <w:rsid w:val="001B09C4"/>
    <w:rsid w:val="001B4150"/>
    <w:rsid w:val="00213DB2"/>
    <w:rsid w:val="00227DD2"/>
    <w:rsid w:val="00231524"/>
    <w:rsid w:val="0024374D"/>
    <w:rsid w:val="002634F2"/>
    <w:rsid w:val="002966A2"/>
    <w:rsid w:val="002D48BE"/>
    <w:rsid w:val="002F4540"/>
    <w:rsid w:val="00335F9F"/>
    <w:rsid w:val="00346C00"/>
    <w:rsid w:val="00354A18"/>
    <w:rsid w:val="00367E97"/>
    <w:rsid w:val="003B2E46"/>
    <w:rsid w:val="003E14E7"/>
    <w:rsid w:val="003E484C"/>
    <w:rsid w:val="003F4BA3"/>
    <w:rsid w:val="00443E1F"/>
    <w:rsid w:val="004F5805"/>
    <w:rsid w:val="00526CDD"/>
    <w:rsid w:val="00551D4E"/>
    <w:rsid w:val="005D102F"/>
    <w:rsid w:val="005D1495"/>
    <w:rsid w:val="005F3C04"/>
    <w:rsid w:val="006404F7"/>
    <w:rsid w:val="006747BD"/>
    <w:rsid w:val="006919BD"/>
    <w:rsid w:val="00692A9D"/>
    <w:rsid w:val="006D6DE5"/>
    <w:rsid w:val="006E5990"/>
    <w:rsid w:val="006F645A"/>
    <w:rsid w:val="007358D4"/>
    <w:rsid w:val="007D1A07"/>
    <w:rsid w:val="007D5D9D"/>
    <w:rsid w:val="00805DF6"/>
    <w:rsid w:val="00814F7C"/>
    <w:rsid w:val="00821F16"/>
    <w:rsid w:val="008368C0"/>
    <w:rsid w:val="0084396A"/>
    <w:rsid w:val="00854B7B"/>
    <w:rsid w:val="008C1729"/>
    <w:rsid w:val="008C75DD"/>
    <w:rsid w:val="008F027B"/>
    <w:rsid w:val="008F209D"/>
    <w:rsid w:val="00910A74"/>
    <w:rsid w:val="0094238B"/>
    <w:rsid w:val="0094378F"/>
    <w:rsid w:val="00982E0A"/>
    <w:rsid w:val="009D4C4D"/>
    <w:rsid w:val="00A36F46"/>
    <w:rsid w:val="00A42B0A"/>
    <w:rsid w:val="00A4666C"/>
    <w:rsid w:val="00A52C29"/>
    <w:rsid w:val="00A80991"/>
    <w:rsid w:val="00AC5AD2"/>
    <w:rsid w:val="00AC6252"/>
    <w:rsid w:val="00B61F8A"/>
    <w:rsid w:val="00B80C72"/>
    <w:rsid w:val="00B86E08"/>
    <w:rsid w:val="00BB007F"/>
    <w:rsid w:val="00BD2E4D"/>
    <w:rsid w:val="00C36739"/>
    <w:rsid w:val="00C736D5"/>
    <w:rsid w:val="00D005B3"/>
    <w:rsid w:val="00D06D36"/>
    <w:rsid w:val="00D17059"/>
    <w:rsid w:val="00D40690"/>
    <w:rsid w:val="00D963AF"/>
    <w:rsid w:val="00DA52A1"/>
    <w:rsid w:val="00E36132"/>
    <w:rsid w:val="00E878AA"/>
    <w:rsid w:val="00ED7972"/>
    <w:rsid w:val="00EE493C"/>
    <w:rsid w:val="00F07FAE"/>
    <w:rsid w:val="00F76B97"/>
    <w:rsid w:val="00F85F3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B1E0"/>
  <w15:docId w15:val="{5204F020-B5F1-42E1-A86E-10EF115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customStyle="1" w:styleId="Default">
    <w:name w:val="Default"/>
    <w:rsid w:val="00692A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634F2"/>
    <w:pPr>
      <w:spacing w:after="0" w:line="240" w:lineRule="auto"/>
    </w:pPr>
    <w:rPr>
      <w:color w:val="000000" w:themeColor="background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4811-22C2-4809-8F99-3084D30C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Łukasiewicza_PL_szablon.dotx</Template>
  <TotalTime>60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Monika Olszewska | Łukasiewicz – PORT</cp:lastModifiedBy>
  <cp:revision>40</cp:revision>
  <cp:lastPrinted>2020-10-21T10:15:00Z</cp:lastPrinted>
  <dcterms:created xsi:type="dcterms:W3CDTF">2020-03-02T13:55:00Z</dcterms:created>
  <dcterms:modified xsi:type="dcterms:W3CDTF">2024-04-09T10:14:00Z</dcterms:modified>
</cp:coreProperties>
</file>